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BC59" w14:textId="1F0BFB9A" w:rsidR="00AB4C35" w:rsidRPr="00865C59" w:rsidRDefault="00AB4C35" w:rsidP="00AB4C35">
      <w:pPr>
        <w:jc w:val="center"/>
        <w:rPr>
          <w:rFonts w:ascii="Lucida Sans" w:hAnsi="Lucida Sans"/>
          <w:b/>
          <w:bCs/>
          <w:sz w:val="32"/>
          <w:szCs w:val="32"/>
        </w:rPr>
      </w:pPr>
      <w:r w:rsidRPr="00865C59">
        <w:rPr>
          <w:rFonts w:ascii="Lucida Sans" w:hAnsi="Lucida Sans"/>
          <w:b/>
          <w:bCs/>
          <w:sz w:val="32"/>
          <w:szCs w:val="32"/>
        </w:rPr>
        <w:t>La OMC insiste en que l</w:t>
      </w:r>
      <w:r w:rsidRPr="00865C59">
        <w:rPr>
          <w:rFonts w:ascii="Lucida Sans" w:hAnsi="Lucida Sans"/>
          <w:b/>
          <w:bCs/>
          <w:sz w:val="32"/>
          <w:szCs w:val="32"/>
        </w:rPr>
        <w:t xml:space="preserve">a objeción de conciencia </w:t>
      </w:r>
      <w:r w:rsidRPr="00865C59">
        <w:rPr>
          <w:rFonts w:ascii="Lucida Sans" w:hAnsi="Lucida Sans"/>
          <w:b/>
          <w:bCs/>
          <w:sz w:val="32"/>
          <w:szCs w:val="32"/>
        </w:rPr>
        <w:t>es</w:t>
      </w:r>
      <w:r w:rsidRPr="00865C59">
        <w:rPr>
          <w:rFonts w:ascii="Lucida Sans" w:hAnsi="Lucida Sans"/>
          <w:b/>
          <w:bCs/>
          <w:sz w:val="32"/>
          <w:szCs w:val="32"/>
        </w:rPr>
        <w:t xml:space="preserve"> un derecho constitucional</w:t>
      </w:r>
      <w:r w:rsidRPr="00865C59">
        <w:rPr>
          <w:rFonts w:ascii="Lucida Sans" w:hAnsi="Lucida Sans"/>
          <w:b/>
          <w:bCs/>
          <w:sz w:val="32"/>
          <w:szCs w:val="32"/>
        </w:rPr>
        <w:t xml:space="preserve"> y</w:t>
      </w:r>
      <w:r w:rsidRPr="00865C59">
        <w:rPr>
          <w:rFonts w:ascii="Lucida Sans" w:hAnsi="Lucida Sans"/>
          <w:b/>
          <w:bCs/>
          <w:sz w:val="32"/>
          <w:szCs w:val="32"/>
        </w:rPr>
        <w:t xml:space="preserve"> deontológico</w:t>
      </w:r>
    </w:p>
    <w:p w14:paraId="4B760CEE" w14:textId="109B987D" w:rsidR="00AB4C35" w:rsidRDefault="00AB4C35" w:rsidP="00AB4C35">
      <w:pPr>
        <w:pStyle w:val="Prrafodelista"/>
        <w:numPr>
          <w:ilvl w:val="0"/>
          <w:numId w:val="18"/>
        </w:numPr>
        <w:jc w:val="both"/>
        <w:rPr>
          <w:rFonts w:ascii="Lucida Sans" w:hAnsi="Lucida Sans"/>
          <w:b/>
          <w:bCs/>
        </w:rPr>
      </w:pPr>
      <w:r w:rsidRPr="00AB4C35">
        <w:rPr>
          <w:rFonts w:ascii="Lucida Sans" w:hAnsi="Lucida Sans"/>
          <w:b/>
          <w:bCs/>
        </w:rPr>
        <w:t>Los datos de los médicos objetores deben mantenerse en secreto y bajo estricta confidencialidad, sin acceso público ni divulgación externa</w:t>
      </w:r>
    </w:p>
    <w:p w14:paraId="7DEBDF43" w14:textId="77777777" w:rsidR="00AB4C35" w:rsidRPr="00AB4C35" w:rsidRDefault="00AB4C35" w:rsidP="00AB4C35">
      <w:pPr>
        <w:pStyle w:val="Prrafodelista"/>
        <w:jc w:val="both"/>
        <w:rPr>
          <w:rFonts w:ascii="Lucida Sans" w:hAnsi="Lucida Sans"/>
          <w:b/>
          <w:bCs/>
        </w:rPr>
      </w:pPr>
    </w:p>
    <w:p w14:paraId="0ADAE194" w14:textId="09583B46" w:rsidR="00AB4C35" w:rsidRDefault="00AB4C35" w:rsidP="00AB4C35">
      <w:pPr>
        <w:pStyle w:val="Prrafodelista"/>
        <w:numPr>
          <w:ilvl w:val="0"/>
          <w:numId w:val="18"/>
        </w:numPr>
        <w:jc w:val="both"/>
        <w:rPr>
          <w:rFonts w:ascii="Lucida Sans" w:hAnsi="Lucida Sans"/>
          <w:b/>
          <w:bCs/>
        </w:rPr>
      </w:pPr>
      <w:r w:rsidRPr="00AB4C35">
        <w:rPr>
          <w:rFonts w:ascii="Lucida Sans" w:hAnsi="Lucida Sans"/>
          <w:b/>
          <w:bCs/>
        </w:rPr>
        <w:t>Ningún profesional podrá sufrir represalias, discriminación o perjuicio por ejercer un derecho reconocido constitucional, legal y deontológicamente</w:t>
      </w:r>
    </w:p>
    <w:p w14:paraId="2538FB59" w14:textId="77777777" w:rsidR="00AB4C35" w:rsidRPr="00AB4C35" w:rsidRDefault="00AB4C35" w:rsidP="00AB4C35">
      <w:pPr>
        <w:pStyle w:val="Prrafodelista"/>
        <w:rPr>
          <w:rFonts w:ascii="Lucida Sans" w:hAnsi="Lucida Sans"/>
          <w:b/>
          <w:bCs/>
        </w:rPr>
      </w:pPr>
    </w:p>
    <w:p w14:paraId="0A0C9973" w14:textId="4F0E651B" w:rsidR="00AB4C35" w:rsidRDefault="00AB4C35" w:rsidP="00AB4C35">
      <w:pPr>
        <w:pStyle w:val="Prrafodelista"/>
        <w:numPr>
          <w:ilvl w:val="0"/>
          <w:numId w:val="18"/>
        </w:numPr>
        <w:jc w:val="both"/>
        <w:rPr>
          <w:rFonts w:ascii="Lucida Sans" w:hAnsi="Lucida Sans"/>
          <w:b/>
          <w:bCs/>
        </w:rPr>
      </w:pPr>
      <w:r w:rsidRPr="00AB4C35">
        <w:rPr>
          <w:rFonts w:ascii="Lucida Sans" w:hAnsi="Lucida Sans"/>
          <w:b/>
          <w:bCs/>
        </w:rPr>
        <w:t>El médico no debe justificar ni declarar sus convicciones personales al ejercer la objeción, conforme a la protección que otorga la Constitución</w:t>
      </w:r>
    </w:p>
    <w:p w14:paraId="1E2B8E3C" w14:textId="77777777" w:rsidR="00AB4C35" w:rsidRPr="00AB4C35" w:rsidRDefault="00AB4C35" w:rsidP="00AB4C35">
      <w:pPr>
        <w:pStyle w:val="Prrafodelista"/>
        <w:rPr>
          <w:rFonts w:ascii="Lucida Sans" w:hAnsi="Lucida Sans"/>
          <w:b/>
          <w:bCs/>
        </w:rPr>
      </w:pPr>
    </w:p>
    <w:p w14:paraId="12F4E048" w14:textId="48CDDC1A" w:rsidR="00AB4C35" w:rsidRDefault="00865C59" w:rsidP="00AB4C35">
      <w:pPr>
        <w:jc w:val="both"/>
        <w:rPr>
          <w:rFonts w:ascii="Lucida Sans" w:hAnsi="Lucida Sans"/>
        </w:rPr>
      </w:pPr>
      <w:r w:rsidRPr="00865C59">
        <w:rPr>
          <w:rFonts w:ascii="Lucida Sans" w:hAnsi="Lucida Sans"/>
          <w:i/>
          <w:iCs/>
        </w:rPr>
        <w:t>Madrid, 13 de octubre de 2025</w:t>
      </w:r>
      <w:r>
        <w:rPr>
          <w:rFonts w:ascii="Lucida Sans" w:hAnsi="Lucida Sans"/>
        </w:rPr>
        <w:t xml:space="preserve">. </w:t>
      </w:r>
      <w:r w:rsidR="00AB4C35">
        <w:rPr>
          <w:rFonts w:ascii="Lucida Sans" w:hAnsi="Lucida Sans"/>
        </w:rPr>
        <w:t>La Organización Médica Colegial a</w:t>
      </w:r>
      <w:r w:rsidR="00AB4C35" w:rsidRPr="00AB4C35">
        <w:rPr>
          <w:rFonts w:ascii="Lucida Sans" w:hAnsi="Lucida Sans"/>
        </w:rPr>
        <w:t xml:space="preserve">nte las interpretaciones relativas a las modificaciones introducidas por la Ley Orgánica 1/2023, de 28 de febrero, que modifica la Ley Orgánica 2/2010, de salud sexual y reproductiva y de la interrupción voluntaria del embarazo, en relación a la objeción de conciencia de los médicos, </w:t>
      </w:r>
      <w:r w:rsidR="00AB4C35">
        <w:rPr>
          <w:rFonts w:ascii="Lucida Sans" w:hAnsi="Lucida Sans"/>
        </w:rPr>
        <w:t>reitera</w:t>
      </w:r>
      <w:r w:rsidR="00AB4C35" w:rsidRPr="00AB4C35">
        <w:rPr>
          <w:rFonts w:ascii="Lucida Sans" w:hAnsi="Lucida Sans"/>
        </w:rPr>
        <w:t xml:space="preserve"> que </w:t>
      </w:r>
      <w:r w:rsidR="00AB4C35" w:rsidRPr="00AB4C35">
        <w:rPr>
          <w:rFonts w:ascii="Lucida Sans" w:hAnsi="Lucida Sans"/>
          <w:b/>
          <w:bCs/>
        </w:rPr>
        <w:t>la objeción de conciencia de los médicos constituye un derecho fundamental, de rango constitucional, reconocido y protegido tanto por la jurisprudencia del Tribunal Constitucional como por el Código de Deontología Médica</w:t>
      </w:r>
      <w:r w:rsidR="00AB4C35" w:rsidRPr="00AB4C35">
        <w:rPr>
          <w:rFonts w:ascii="Lucida Sans" w:hAnsi="Lucida Sans"/>
        </w:rPr>
        <w:t>.</w:t>
      </w:r>
    </w:p>
    <w:p w14:paraId="2E1A418F" w14:textId="0D813B1E" w:rsidR="00AB4C35" w:rsidRDefault="00AB4C35" w:rsidP="00AB4C35">
      <w:pPr>
        <w:jc w:val="both"/>
        <w:rPr>
          <w:rFonts w:ascii="Lucida Sans" w:hAnsi="Lucida Sans"/>
        </w:rPr>
      </w:pPr>
      <w:r w:rsidRPr="00AB4C35">
        <w:rPr>
          <w:rFonts w:ascii="Lucida Sans" w:hAnsi="Lucida Sans"/>
        </w:rPr>
        <w:t>La corporación médica destaca que la </w:t>
      </w:r>
      <w:r w:rsidRPr="00AB4C35">
        <w:rPr>
          <w:rFonts w:ascii="Lucida Sans" w:hAnsi="Lucida Sans"/>
          <w:b/>
          <w:bCs/>
        </w:rPr>
        <w:t>objeción de conciencia del personal sanitario</w:t>
      </w:r>
      <w:r w:rsidRPr="00AB4C35">
        <w:rPr>
          <w:rFonts w:ascii="Lucida Sans" w:hAnsi="Lucida Sans"/>
        </w:rPr>
        <w:t> es un derecho individual al que puede acogerse quien considere que una</w:t>
      </w:r>
      <w:r>
        <w:rPr>
          <w:rFonts w:ascii="Lucida Sans" w:hAnsi="Lucida Sans"/>
        </w:rPr>
        <w:t xml:space="preserve"> </w:t>
      </w:r>
      <w:r w:rsidRPr="00AB4C35">
        <w:rPr>
          <w:rFonts w:ascii="Lucida Sans" w:hAnsi="Lucida Sans"/>
        </w:rPr>
        <w:t>ley o mandato va en contra de sus convicciones y creencias. La garantía de que una prestación del Sistema Nacional de Salud esté disponible y sea accesible, trasciende el ámbito individual, se articula a través de las redes sanitarias, y debe tener como protagonistas a los gestores, más que a los médicos/as.</w:t>
      </w:r>
    </w:p>
    <w:p w14:paraId="6EC4BBC0" w14:textId="77B33465" w:rsidR="00AB4C35" w:rsidRPr="00AB4C35" w:rsidRDefault="00AB4C35" w:rsidP="00AB4C35">
      <w:pPr>
        <w:jc w:val="both"/>
        <w:rPr>
          <w:rFonts w:ascii="Lucida Sans" w:hAnsi="Lucida Sans"/>
        </w:rPr>
      </w:pPr>
      <w:r>
        <w:rPr>
          <w:rFonts w:ascii="Lucida Sans" w:hAnsi="Lucida Sans"/>
        </w:rPr>
        <w:t>Por ello, l</w:t>
      </w:r>
      <w:r w:rsidRPr="00AB4C35">
        <w:rPr>
          <w:rFonts w:ascii="Lucida Sans" w:hAnsi="Lucida Sans"/>
        </w:rPr>
        <w:t>a OMC reitera su compromiso con la libertad de conciencia, la protección de los datos personales y el respeto a la dignidad del médico, valores esenciales para garantizar una medicina éticamente responsable, centrada en la persona y en el bien común.</w:t>
      </w:r>
    </w:p>
    <w:p w14:paraId="34321823" w14:textId="77777777" w:rsidR="00AB4C35" w:rsidRPr="00AB4C35" w:rsidRDefault="00AB4C35" w:rsidP="00AB4C35">
      <w:pPr>
        <w:rPr>
          <w:rFonts w:ascii="Lucida Sans" w:hAnsi="Lucida Sans"/>
          <w:b/>
          <w:bCs/>
        </w:rPr>
      </w:pPr>
      <w:r w:rsidRPr="00AB4C35">
        <w:rPr>
          <w:rFonts w:ascii="Lucida Sans" w:hAnsi="Lucida Sans"/>
          <w:b/>
          <w:bCs/>
        </w:rPr>
        <w:t xml:space="preserve">Registro de objetores </w:t>
      </w:r>
    </w:p>
    <w:p w14:paraId="574CDC95" w14:textId="74FD4AF9" w:rsidR="00AB4C35" w:rsidRPr="00AB4C35" w:rsidRDefault="00AB4C35" w:rsidP="00AB4C35">
      <w:pPr>
        <w:jc w:val="both"/>
        <w:rPr>
          <w:rFonts w:ascii="Lucida Sans" w:hAnsi="Lucida Sans"/>
        </w:rPr>
      </w:pPr>
      <w:r w:rsidRPr="00AB4C35">
        <w:rPr>
          <w:rFonts w:ascii="Lucida Sans" w:hAnsi="Lucida Sans"/>
        </w:rPr>
        <w:t>El Tribunal Constitucional, en su Sentencia 151/2014, dictada con motivo del registro de objetores de conciencia en la Comunidad Foral de Navarra, estableció que la creación de un registro administrativo de profesionales objetores no vulnera la Constitución, siempre que su finalidad sea exclusivamente organizativa y que se mantenga la confidencialidad absoluta de los datos. La sentencia subraya que el acceso a dicha información debe quedar restringido a las autoridades sanitarias responsables de la planificación asistencial, preservando en todo momento el secreto profesional y la intimidad moral de los inscritos.</w:t>
      </w:r>
    </w:p>
    <w:p w14:paraId="3AB72356" w14:textId="77777777" w:rsidR="00AB4C35" w:rsidRPr="00AB4C35" w:rsidRDefault="00AB4C35" w:rsidP="00AB4C35">
      <w:pPr>
        <w:jc w:val="both"/>
        <w:rPr>
          <w:rFonts w:ascii="Lucida Sans" w:hAnsi="Lucida Sans"/>
        </w:rPr>
      </w:pPr>
      <w:r w:rsidRPr="00AB4C35">
        <w:rPr>
          <w:rFonts w:ascii="Lucida Sans" w:hAnsi="Lucida Sans"/>
        </w:rPr>
        <w:t xml:space="preserve">Esta obligación de reserva se ve reforzada por el Reglamento (UE) 2016/679 del Parlamento Europeo y del Consejo, de 27 de abril de 2016 (Reglamento General de Protección de Datos), que califica los datos relativos a convicciones éticas, </w:t>
      </w:r>
      <w:r w:rsidRPr="00AB4C35">
        <w:rPr>
          <w:rFonts w:ascii="Lucida Sans" w:hAnsi="Lucida Sans"/>
        </w:rPr>
        <w:lastRenderedPageBreak/>
        <w:t>morales o religiosas como categorías especialmente protegidas, cuya divulgación sin consentimiento vulneraría el derecho a la protección de datos y a la libertad de pensamiento.</w:t>
      </w:r>
    </w:p>
    <w:p w14:paraId="1ED3609A" w14:textId="77777777" w:rsidR="00AB4C35" w:rsidRPr="00AB4C35" w:rsidRDefault="00AB4C35" w:rsidP="00AB4C35">
      <w:pPr>
        <w:jc w:val="both"/>
        <w:rPr>
          <w:rFonts w:ascii="Lucida Sans" w:hAnsi="Lucida Sans"/>
        </w:rPr>
      </w:pPr>
      <w:r w:rsidRPr="00AB4C35">
        <w:rPr>
          <w:rFonts w:ascii="Lucida Sans" w:hAnsi="Lucida Sans"/>
        </w:rPr>
        <w:t xml:space="preserve">La Ley Orgánica 1/2023, que introduce el artículo 19 </w:t>
      </w:r>
      <w:proofErr w:type="gramStart"/>
      <w:r w:rsidRPr="00AB4C35">
        <w:rPr>
          <w:rFonts w:ascii="Lucida Sans" w:hAnsi="Lucida Sans"/>
        </w:rPr>
        <w:t>bis en</w:t>
      </w:r>
      <w:proofErr w:type="gramEnd"/>
      <w:r w:rsidRPr="00AB4C35">
        <w:rPr>
          <w:rFonts w:ascii="Lucida Sans" w:hAnsi="Lucida Sans"/>
        </w:rPr>
        <w:t xml:space="preserve"> la Ley Orgánica 2/2010, garantiza de forma expresa, en su apartado 2 y en el artículo 19 ter.4, la no discriminación ni represalia hacia los profesionales sanitarios que ejerzan la objeción de conciencia. El ejercicio de este derecho no podrá acarrear sanción, perjuicio profesional ni limitación del desarrollo laboral, reforzando el principio de respeto a la libertad individual y a la autonomía moral de los profesionales.</w:t>
      </w:r>
    </w:p>
    <w:p w14:paraId="2E2DBCED" w14:textId="77777777" w:rsidR="00AB4C35" w:rsidRPr="00AB4C35" w:rsidRDefault="00AB4C35" w:rsidP="00AB4C35">
      <w:pPr>
        <w:jc w:val="both"/>
        <w:rPr>
          <w:rFonts w:ascii="Lucida Sans" w:hAnsi="Lucida Sans"/>
        </w:rPr>
      </w:pPr>
      <w:r w:rsidRPr="00AB4C35">
        <w:rPr>
          <w:rFonts w:ascii="Lucida Sans" w:hAnsi="Lucida Sans"/>
        </w:rPr>
        <w:t>Desde el punto de vista deontológico, el Código de Deontología Médica de la OMC, en su Capítulo VIII, establece que la objeción de conciencia forma parte inseparable de la integridad ética del médico. En su artículo 34.1, el Código define la objeción como "el derecho del médico a ser eximido del cumplimiento de los deberes inherentes a su profesión cuando estos entren en conflicto grave con sus convicciones éticas". El texto reconoce que el profesional puede, de modo individual y responsable, eximirse de realizar determinadas actuaciones clínicas cuando éstas entren en conflicto grave con sus convicciones. Al mismo tiempo, el Código recuerda que el ejercicio de la objeción debe ser compatible con la atención y el respeto al paciente, evitando el abandono asistencial.</w:t>
      </w:r>
    </w:p>
    <w:p w14:paraId="2BB5A6CB" w14:textId="77777777" w:rsidR="00AB4C35" w:rsidRPr="00AB4C35" w:rsidRDefault="00AB4C35" w:rsidP="00AB4C35">
      <w:pPr>
        <w:jc w:val="both"/>
        <w:rPr>
          <w:rFonts w:ascii="Lucida Sans" w:hAnsi="Lucida Sans"/>
        </w:rPr>
      </w:pPr>
      <w:r w:rsidRPr="00AB4C35">
        <w:rPr>
          <w:rFonts w:ascii="Lucida Sans" w:hAnsi="Lucida Sans"/>
        </w:rPr>
        <w:t>Asimismo, el marco deontológico señala que la objeción de conciencia ha de manifestarse de forma clara y anticipada, dentro de los cauces organizativos establecidos, y que la institución debe respetar y proteger al médico objetor, evitando cualquier forma de coacción, discriminación o menoscabo derivado de su decisión. En definitiva, la objeción se interpreta como una expresión legítima de la libertad moral del médico, indispensable para una práctica profesional auténticamente ética.</w:t>
      </w:r>
    </w:p>
    <w:p w14:paraId="0BDACBE0" w14:textId="6C262BAB" w:rsidR="00352FA2" w:rsidRPr="00AB4C35" w:rsidRDefault="00AB4C35" w:rsidP="00AB4C35">
      <w:pPr>
        <w:jc w:val="both"/>
        <w:rPr>
          <w:rFonts w:ascii="Lucida Sans" w:hAnsi="Lucida Sans"/>
        </w:rPr>
      </w:pPr>
      <w:r w:rsidRPr="00AB4C35">
        <w:rPr>
          <w:rFonts w:ascii="Lucida Sans" w:hAnsi="Lucida Sans"/>
        </w:rPr>
        <w:t>Por otra parte, el artículo 16 de la Constitución Española consagra la libertad ideológica, religiosa y de culto, y establece que nadie puede ser obligado a declarar sobre su ideología o creencias. En coherencia con este principio, el profesional sanitario no está obligado a justificar los motivos personales que fundamentan su objeción de conciencia; basta su manifestación formal ante la autoridad competente para que el derecho quede plenamente reconocido.</w:t>
      </w:r>
    </w:p>
    <w:sectPr w:rsidR="00352FA2" w:rsidRPr="00AB4C35" w:rsidSect="00574746">
      <w:headerReference w:type="default" r:id="rId8"/>
      <w:footerReference w:type="default" r:id="rId9"/>
      <w:pgSz w:w="11906" w:h="16838"/>
      <w:pgMar w:top="1843"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C406" w14:textId="77777777" w:rsidR="0079415F" w:rsidRDefault="0079415F" w:rsidP="00BD1232">
      <w:pPr>
        <w:spacing w:after="0" w:line="240" w:lineRule="auto"/>
      </w:pPr>
      <w:r>
        <w:separator/>
      </w:r>
    </w:p>
  </w:endnote>
  <w:endnote w:type="continuationSeparator" w:id="0">
    <w:p w14:paraId="5118CBCA" w14:textId="77777777" w:rsidR="0079415F" w:rsidRDefault="0079415F" w:rsidP="00BD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C459" w14:textId="0351E3AD" w:rsidR="00C63049" w:rsidRPr="00C63049" w:rsidRDefault="00D74035" w:rsidP="00C63049">
    <w:pPr>
      <w:pStyle w:val="Piedepgina"/>
      <w:jc w:val="center"/>
      <w:rPr>
        <w:sz w:val="12"/>
        <w:szCs w:val="12"/>
        <w:lang w:val="en-US"/>
      </w:rPr>
    </w:pPr>
    <w:r w:rsidRPr="00C63049">
      <w:rPr>
        <w:noProof/>
        <w:sz w:val="12"/>
        <w:szCs w:val="12"/>
        <w:lang w:val="en-US"/>
      </w:rPr>
      <mc:AlternateContent>
        <mc:Choice Requires="wps">
          <w:drawing>
            <wp:anchor distT="45720" distB="45720" distL="114300" distR="114300" simplePos="0" relativeHeight="251659264" behindDoc="0" locked="0" layoutInCell="1" allowOverlap="1" wp14:anchorId="0CABC650" wp14:editId="779821F6">
              <wp:simplePos x="0" y="0"/>
              <wp:positionH relativeFrom="margin">
                <wp:align>right</wp:align>
              </wp:positionH>
              <wp:positionV relativeFrom="paragraph">
                <wp:posOffset>6096</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1"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2" w:history="1">
                            <w:r w:rsidRPr="00797C30">
                              <w:rPr>
                                <w:rStyle w:val="Hipervnculo"/>
                                <w:sz w:val="12"/>
                                <w:szCs w:val="12"/>
                              </w:rPr>
                              <w:t>www.medicosypacientes.com</w:t>
                            </w:r>
                          </w:hyperlink>
                          <w:r>
                            <w:rPr>
                              <w:sz w:val="12"/>
                              <w:szCs w:val="12"/>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BC650" id="_x0000_t202" coordsize="21600,21600" o:spt="202" path="m,l,21600r21600,l21600,xe">
              <v:stroke joinstyle="miter"/>
              <v:path gradientshapeok="t" o:connecttype="rect"/>
            </v:shapetype>
            <v:shape id="Cuadro de texto 2" o:spid="_x0000_s1026" type="#_x0000_t202" style="position:absolute;left:0;text-align:left;margin-left:134.7pt;margin-top:.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3"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4" w:history="1">
                      <w:r w:rsidRPr="00797C30">
                        <w:rPr>
                          <w:rStyle w:val="Hipervnculo"/>
                          <w:sz w:val="12"/>
                          <w:szCs w:val="12"/>
                        </w:rPr>
                        <w:t>www.medicosypacientes.com</w:t>
                      </w:r>
                    </w:hyperlink>
                    <w:r>
                      <w:rPr>
                        <w:sz w:val="12"/>
                        <w:szCs w:val="12"/>
                      </w:rPr>
                      <w:t xml:space="preserve"> </w:t>
                    </w:r>
                  </w:p>
                </w:txbxContent>
              </v:textbox>
              <w10:wrap type="square" anchorx="margin"/>
            </v:shape>
          </w:pict>
        </mc:Fallback>
      </mc:AlternateContent>
    </w:r>
    <w:r>
      <w:rPr>
        <w:noProof/>
        <w:sz w:val="12"/>
        <w:szCs w:val="12"/>
        <w:lang w:val="en-US"/>
      </w:rPr>
      <mc:AlternateContent>
        <mc:Choice Requires="wps">
          <w:drawing>
            <wp:anchor distT="0" distB="0" distL="114300" distR="114300" simplePos="0" relativeHeight="251662336" behindDoc="0" locked="0" layoutInCell="1" allowOverlap="1" wp14:anchorId="4D4C9F92" wp14:editId="0070103E">
              <wp:simplePos x="0" y="0"/>
              <wp:positionH relativeFrom="margin">
                <wp:posOffset>-1142</wp:posOffset>
              </wp:positionH>
              <wp:positionV relativeFrom="paragraph">
                <wp:posOffset>-45340</wp:posOffset>
              </wp:positionV>
              <wp:extent cx="5462016" cy="0"/>
              <wp:effectExtent l="0" t="0" r="0" b="0"/>
              <wp:wrapNone/>
              <wp:docPr id="129657208" name="Conector recto 1"/>
              <wp:cNvGraphicFramePr/>
              <a:graphic xmlns:a="http://schemas.openxmlformats.org/drawingml/2006/main">
                <a:graphicData uri="http://schemas.microsoft.com/office/word/2010/wordprocessingShape">
                  <wps:wsp>
                    <wps:cNvCnPr/>
                    <wps:spPr>
                      <a:xfrm flipV="1">
                        <a:off x="0" y="0"/>
                        <a:ext cx="5462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7352" id="Conector recto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3.55pt" to="43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" strokecolor="black [3200]" strokeweight=".5pt">
              <v:stroke joinstyle="miter"/>
              <w10:wrap anchorx="margin"/>
            </v:line>
          </w:pict>
        </mc:Fallback>
      </mc:AlternateContent>
    </w:r>
    <w:r w:rsidR="00C63049" w:rsidRPr="00C63049">
      <w:rPr>
        <w:noProof/>
        <w:sz w:val="12"/>
        <w:szCs w:val="12"/>
        <w:lang w:val="en-US"/>
      </w:rPr>
      <mc:AlternateContent>
        <mc:Choice Requires="wps">
          <w:drawing>
            <wp:anchor distT="45720" distB="45720" distL="114300" distR="114300" simplePos="0" relativeHeight="251661312" behindDoc="0" locked="0" layoutInCell="1" allowOverlap="1" wp14:anchorId="7D7CF83B" wp14:editId="3D3AFA4F">
              <wp:simplePos x="0" y="0"/>
              <wp:positionH relativeFrom="column">
                <wp:posOffset>80010</wp:posOffset>
              </wp:positionH>
              <wp:positionV relativeFrom="paragraph">
                <wp:posOffset>3175</wp:posOffset>
              </wp:positionV>
              <wp:extent cx="2360930" cy="1404620"/>
              <wp:effectExtent l="0" t="0" r="0" b="1905"/>
              <wp:wrapSquare wrapText="bothSides"/>
              <wp:docPr id="17867026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5"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CF83B" id="_x0000_s1027" type="#_x0000_t202" style="position:absolute;left:0;text-align:left;margin-left:6.3pt;margin-top:.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" stroked="f">
              <v:textbox style="mso-fit-shape-to-text:t">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6"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v:textbox>
              <w10:wrap type="square"/>
            </v:shape>
          </w:pict>
        </mc:Fallback>
      </mc:AlternateContent>
    </w:r>
  </w:p>
  <w:p w14:paraId="61A689DE" w14:textId="197CDA5F" w:rsidR="00C63049" w:rsidRPr="00C63049" w:rsidRDefault="00C63049" w:rsidP="00C63049">
    <w:pPr>
      <w:pStyle w:val="Piedepgina"/>
      <w:jc w:val="center"/>
      <w:rPr>
        <w:lang w:val="en-US"/>
      </w:rPr>
    </w:pPr>
  </w:p>
  <w:p w14:paraId="2401151E" w14:textId="77777777" w:rsidR="00C63049" w:rsidRPr="00C63049" w:rsidRDefault="00C63049">
    <w:pPr>
      <w:pStyle w:val="Piedepgina"/>
      <w:rPr>
        <w:lang w:val="en-US"/>
      </w:rPr>
    </w:pPr>
  </w:p>
  <w:p w14:paraId="0DE7EEEB" w14:textId="4281B6B5" w:rsidR="00C63049" w:rsidRPr="00C63049" w:rsidRDefault="00C6304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671E" w14:textId="77777777" w:rsidR="0079415F" w:rsidRDefault="0079415F" w:rsidP="00BD1232">
      <w:pPr>
        <w:spacing w:after="0" w:line="240" w:lineRule="auto"/>
      </w:pPr>
      <w:r>
        <w:separator/>
      </w:r>
    </w:p>
  </w:footnote>
  <w:footnote w:type="continuationSeparator" w:id="0">
    <w:p w14:paraId="22C13131" w14:textId="77777777" w:rsidR="0079415F" w:rsidRDefault="0079415F" w:rsidP="00BD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A2F" w14:textId="77777777" w:rsidR="00BD1232" w:rsidRDefault="00DA0762" w:rsidP="00DA0762">
    <w:pPr>
      <w:pStyle w:val="Encabezado"/>
      <w:ind w:left="-567"/>
    </w:pPr>
    <w:r>
      <w:rPr>
        <w:noProof/>
        <w:lang w:eastAsia="es-ES"/>
      </w:rPr>
      <w:ptab w:relativeTo="margin" w:alignment="left" w:leader="none"/>
    </w:r>
    <w:r w:rsidR="00AA4B57">
      <w:rPr>
        <w:noProof/>
        <w:lang w:eastAsia="es-ES"/>
      </w:rPr>
      <w:drawing>
        <wp:inline distT="0" distB="0" distL="0" distR="0" wp14:anchorId="7CDAA381" wp14:editId="6ABF973A">
          <wp:extent cx="5389200" cy="1094400"/>
          <wp:effectExtent l="0" t="0" r="254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c_consejo_princip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2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3A9"/>
    <w:multiLevelType w:val="hybridMultilevel"/>
    <w:tmpl w:val="36640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C1445C"/>
    <w:multiLevelType w:val="hybridMultilevel"/>
    <w:tmpl w:val="D638CCF4"/>
    <w:lvl w:ilvl="0" w:tplc="3156FF7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754693"/>
    <w:multiLevelType w:val="hybridMultilevel"/>
    <w:tmpl w:val="7F28B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8056C3"/>
    <w:multiLevelType w:val="hybridMultilevel"/>
    <w:tmpl w:val="6A4E885A"/>
    <w:lvl w:ilvl="0" w:tplc="1F960FE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A60428"/>
    <w:multiLevelType w:val="hybridMultilevel"/>
    <w:tmpl w:val="C686ACD8"/>
    <w:lvl w:ilvl="0" w:tplc="F00C9558">
      <w:numFmt w:val="bullet"/>
      <w:lvlText w:val="-"/>
      <w:lvlJc w:val="left"/>
      <w:pPr>
        <w:ind w:left="644" w:hanging="360"/>
      </w:pPr>
      <w:rPr>
        <w:rFonts w:ascii="Lucida Sans" w:eastAsia="Calibri" w:hAnsi="Lucida San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3D053065"/>
    <w:multiLevelType w:val="hybridMultilevel"/>
    <w:tmpl w:val="A114F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F7370D"/>
    <w:multiLevelType w:val="hybridMultilevel"/>
    <w:tmpl w:val="6C7C4DA6"/>
    <w:lvl w:ilvl="0" w:tplc="1F960FEE">
      <w:numFmt w:val="bullet"/>
      <w:lvlText w:val="•"/>
      <w:lvlJc w:val="left"/>
      <w:pPr>
        <w:ind w:left="1080" w:hanging="360"/>
      </w:pPr>
      <w:rPr>
        <w:rFonts w:ascii="Lucida Sans" w:eastAsiaTheme="minorHAnsi" w:hAnsi="Lucida San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46434761"/>
    <w:multiLevelType w:val="hybridMultilevel"/>
    <w:tmpl w:val="6C267A30"/>
    <w:lvl w:ilvl="0" w:tplc="1F960FE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44720E"/>
    <w:multiLevelType w:val="hybridMultilevel"/>
    <w:tmpl w:val="B2AAD334"/>
    <w:lvl w:ilvl="0" w:tplc="1F960FE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910FDC"/>
    <w:multiLevelType w:val="hybridMultilevel"/>
    <w:tmpl w:val="18FCE476"/>
    <w:lvl w:ilvl="0" w:tplc="854E66B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CD6CD3"/>
    <w:multiLevelType w:val="hybridMultilevel"/>
    <w:tmpl w:val="964C7FF8"/>
    <w:lvl w:ilvl="0" w:tplc="119A86C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BC094A"/>
    <w:multiLevelType w:val="hybridMultilevel"/>
    <w:tmpl w:val="43C439DE"/>
    <w:lvl w:ilvl="0" w:tplc="CD1C37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EE65BD"/>
    <w:multiLevelType w:val="hybridMultilevel"/>
    <w:tmpl w:val="C1FEBC66"/>
    <w:lvl w:ilvl="0" w:tplc="CB82D764">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20C2A73"/>
    <w:multiLevelType w:val="hybridMultilevel"/>
    <w:tmpl w:val="602ABA34"/>
    <w:lvl w:ilvl="0" w:tplc="A0F8C6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0505B3"/>
    <w:multiLevelType w:val="hybridMultilevel"/>
    <w:tmpl w:val="AA7A956C"/>
    <w:lvl w:ilvl="0" w:tplc="32B229D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9467D1"/>
    <w:multiLevelType w:val="hybridMultilevel"/>
    <w:tmpl w:val="33F00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76514121"/>
    <w:multiLevelType w:val="hybridMultilevel"/>
    <w:tmpl w:val="B47EC3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66304B2"/>
    <w:multiLevelType w:val="hybridMultilevel"/>
    <w:tmpl w:val="A04AA20A"/>
    <w:lvl w:ilvl="0" w:tplc="1F960FEE">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1747">
    <w:abstractNumId w:val="15"/>
  </w:num>
  <w:num w:numId="2" w16cid:durableId="119228322">
    <w:abstractNumId w:val="1"/>
  </w:num>
  <w:num w:numId="3" w16cid:durableId="1441952785">
    <w:abstractNumId w:val="11"/>
  </w:num>
  <w:num w:numId="4" w16cid:durableId="1826042053">
    <w:abstractNumId w:val="4"/>
  </w:num>
  <w:num w:numId="5" w16cid:durableId="1175607995">
    <w:abstractNumId w:val="13"/>
  </w:num>
  <w:num w:numId="6" w16cid:durableId="2113284199">
    <w:abstractNumId w:val="2"/>
  </w:num>
  <w:num w:numId="7" w16cid:durableId="1127315486">
    <w:abstractNumId w:val="12"/>
  </w:num>
  <w:num w:numId="8" w16cid:durableId="1789204279">
    <w:abstractNumId w:val="9"/>
  </w:num>
  <w:num w:numId="9" w16cid:durableId="1189367242">
    <w:abstractNumId w:val="10"/>
  </w:num>
  <w:num w:numId="10" w16cid:durableId="100999036">
    <w:abstractNumId w:val="14"/>
  </w:num>
  <w:num w:numId="11" w16cid:durableId="478888148">
    <w:abstractNumId w:val="5"/>
  </w:num>
  <w:num w:numId="12" w16cid:durableId="1210066652">
    <w:abstractNumId w:val="7"/>
  </w:num>
  <w:num w:numId="13" w16cid:durableId="709257430">
    <w:abstractNumId w:val="3"/>
  </w:num>
  <w:num w:numId="14" w16cid:durableId="291793815">
    <w:abstractNumId w:val="8"/>
  </w:num>
  <w:num w:numId="15" w16cid:durableId="1070930084">
    <w:abstractNumId w:val="17"/>
  </w:num>
  <w:num w:numId="16" w16cid:durableId="1325013972">
    <w:abstractNumId w:val="6"/>
  </w:num>
  <w:num w:numId="17" w16cid:durableId="1516074708">
    <w:abstractNumId w:val="16"/>
  </w:num>
  <w:num w:numId="18" w16cid:durableId="19354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2"/>
    <w:rsid w:val="000106CB"/>
    <w:rsid w:val="000158BC"/>
    <w:rsid w:val="00035E04"/>
    <w:rsid w:val="000441D9"/>
    <w:rsid w:val="00045AA3"/>
    <w:rsid w:val="00045E63"/>
    <w:rsid w:val="000533D2"/>
    <w:rsid w:val="00055CE1"/>
    <w:rsid w:val="00056664"/>
    <w:rsid w:val="00070597"/>
    <w:rsid w:val="0007640A"/>
    <w:rsid w:val="00077A9A"/>
    <w:rsid w:val="000863B5"/>
    <w:rsid w:val="00092A97"/>
    <w:rsid w:val="0009528E"/>
    <w:rsid w:val="00096DEC"/>
    <w:rsid w:val="000B34FE"/>
    <w:rsid w:val="000B6819"/>
    <w:rsid w:val="000C5D89"/>
    <w:rsid w:val="000D630E"/>
    <w:rsid w:val="000D7275"/>
    <w:rsid w:val="000D7962"/>
    <w:rsid w:val="000F260D"/>
    <w:rsid w:val="000F440B"/>
    <w:rsid w:val="00101E01"/>
    <w:rsid w:val="0011460F"/>
    <w:rsid w:val="00131473"/>
    <w:rsid w:val="00132490"/>
    <w:rsid w:val="0013526A"/>
    <w:rsid w:val="00150361"/>
    <w:rsid w:val="001507A3"/>
    <w:rsid w:val="001560F9"/>
    <w:rsid w:val="001725A5"/>
    <w:rsid w:val="001757C3"/>
    <w:rsid w:val="00195030"/>
    <w:rsid w:val="001A2861"/>
    <w:rsid w:val="001C2990"/>
    <w:rsid w:val="001D1B5E"/>
    <w:rsid w:val="001D66A4"/>
    <w:rsid w:val="001F4B43"/>
    <w:rsid w:val="001F7FD0"/>
    <w:rsid w:val="00202FF0"/>
    <w:rsid w:val="0020383B"/>
    <w:rsid w:val="00250223"/>
    <w:rsid w:val="00260FAC"/>
    <w:rsid w:val="00261B0F"/>
    <w:rsid w:val="00271227"/>
    <w:rsid w:val="0027208B"/>
    <w:rsid w:val="002765B8"/>
    <w:rsid w:val="00286B30"/>
    <w:rsid w:val="002B6527"/>
    <w:rsid w:val="002C0DFC"/>
    <w:rsid w:val="002D3773"/>
    <w:rsid w:val="002E6009"/>
    <w:rsid w:val="002E7FD0"/>
    <w:rsid w:val="002F51A5"/>
    <w:rsid w:val="002F5628"/>
    <w:rsid w:val="00303F31"/>
    <w:rsid w:val="00332039"/>
    <w:rsid w:val="003332D9"/>
    <w:rsid w:val="00352FA2"/>
    <w:rsid w:val="003546CC"/>
    <w:rsid w:val="00360680"/>
    <w:rsid w:val="00365DC7"/>
    <w:rsid w:val="00371BE0"/>
    <w:rsid w:val="003A62CE"/>
    <w:rsid w:val="003C377A"/>
    <w:rsid w:val="003D11F3"/>
    <w:rsid w:val="0040074B"/>
    <w:rsid w:val="00400ADE"/>
    <w:rsid w:val="0041414B"/>
    <w:rsid w:val="004335EB"/>
    <w:rsid w:val="004409E4"/>
    <w:rsid w:val="00475DF4"/>
    <w:rsid w:val="00491F6A"/>
    <w:rsid w:val="00495534"/>
    <w:rsid w:val="004E3C9A"/>
    <w:rsid w:val="004E5EE5"/>
    <w:rsid w:val="004F14D6"/>
    <w:rsid w:val="00510482"/>
    <w:rsid w:val="0051447C"/>
    <w:rsid w:val="00523B7C"/>
    <w:rsid w:val="005274DE"/>
    <w:rsid w:val="00530135"/>
    <w:rsid w:val="00530EF8"/>
    <w:rsid w:val="00536F57"/>
    <w:rsid w:val="005470F7"/>
    <w:rsid w:val="005559D3"/>
    <w:rsid w:val="0056179F"/>
    <w:rsid w:val="00574746"/>
    <w:rsid w:val="005A09E6"/>
    <w:rsid w:val="005A0FA5"/>
    <w:rsid w:val="005A5AB8"/>
    <w:rsid w:val="005B5F50"/>
    <w:rsid w:val="005C5BFA"/>
    <w:rsid w:val="005D65A9"/>
    <w:rsid w:val="005E6F83"/>
    <w:rsid w:val="0060376B"/>
    <w:rsid w:val="00617AE9"/>
    <w:rsid w:val="006205CE"/>
    <w:rsid w:val="00620F85"/>
    <w:rsid w:val="006300AD"/>
    <w:rsid w:val="00630473"/>
    <w:rsid w:val="00633966"/>
    <w:rsid w:val="006409BD"/>
    <w:rsid w:val="006434BE"/>
    <w:rsid w:val="00654B66"/>
    <w:rsid w:val="0065792C"/>
    <w:rsid w:val="00666F98"/>
    <w:rsid w:val="00667603"/>
    <w:rsid w:val="006750BD"/>
    <w:rsid w:val="0067693F"/>
    <w:rsid w:val="00677897"/>
    <w:rsid w:val="0068068D"/>
    <w:rsid w:val="0069441F"/>
    <w:rsid w:val="006B0498"/>
    <w:rsid w:val="006B0E67"/>
    <w:rsid w:val="006E0F8A"/>
    <w:rsid w:val="006E52EC"/>
    <w:rsid w:val="006E5742"/>
    <w:rsid w:val="00712052"/>
    <w:rsid w:val="00712E15"/>
    <w:rsid w:val="007147FA"/>
    <w:rsid w:val="00715732"/>
    <w:rsid w:val="00716D2E"/>
    <w:rsid w:val="0072114F"/>
    <w:rsid w:val="007232AA"/>
    <w:rsid w:val="00726532"/>
    <w:rsid w:val="00747D45"/>
    <w:rsid w:val="007561CC"/>
    <w:rsid w:val="0076500C"/>
    <w:rsid w:val="00777063"/>
    <w:rsid w:val="00782F50"/>
    <w:rsid w:val="00792FE1"/>
    <w:rsid w:val="0079415F"/>
    <w:rsid w:val="00795C42"/>
    <w:rsid w:val="007962FD"/>
    <w:rsid w:val="00797A5D"/>
    <w:rsid w:val="007A66E9"/>
    <w:rsid w:val="007A76A0"/>
    <w:rsid w:val="007B0207"/>
    <w:rsid w:val="007B1E93"/>
    <w:rsid w:val="007B2716"/>
    <w:rsid w:val="007C320E"/>
    <w:rsid w:val="007E788B"/>
    <w:rsid w:val="007F0807"/>
    <w:rsid w:val="00801CE1"/>
    <w:rsid w:val="00802820"/>
    <w:rsid w:val="00821098"/>
    <w:rsid w:val="00834348"/>
    <w:rsid w:val="00844272"/>
    <w:rsid w:val="008464F9"/>
    <w:rsid w:val="00865C59"/>
    <w:rsid w:val="008708BE"/>
    <w:rsid w:val="008748E9"/>
    <w:rsid w:val="008765E9"/>
    <w:rsid w:val="00892D86"/>
    <w:rsid w:val="008A210D"/>
    <w:rsid w:val="008A4A54"/>
    <w:rsid w:val="008A6D0F"/>
    <w:rsid w:val="008A7F86"/>
    <w:rsid w:val="008C3686"/>
    <w:rsid w:val="008C7F86"/>
    <w:rsid w:val="008D19C7"/>
    <w:rsid w:val="008D55EC"/>
    <w:rsid w:val="008D5D22"/>
    <w:rsid w:val="008E3740"/>
    <w:rsid w:val="008F4D2F"/>
    <w:rsid w:val="00906574"/>
    <w:rsid w:val="00910939"/>
    <w:rsid w:val="00911DE9"/>
    <w:rsid w:val="00926107"/>
    <w:rsid w:val="0092646A"/>
    <w:rsid w:val="0093093B"/>
    <w:rsid w:val="00951194"/>
    <w:rsid w:val="009776C6"/>
    <w:rsid w:val="0098289A"/>
    <w:rsid w:val="0099024C"/>
    <w:rsid w:val="0099794B"/>
    <w:rsid w:val="009C52BC"/>
    <w:rsid w:val="009D0158"/>
    <w:rsid w:val="009E2332"/>
    <w:rsid w:val="009E7983"/>
    <w:rsid w:val="009F243E"/>
    <w:rsid w:val="00A02B26"/>
    <w:rsid w:val="00A031B8"/>
    <w:rsid w:val="00A1052C"/>
    <w:rsid w:val="00A2661A"/>
    <w:rsid w:val="00A31456"/>
    <w:rsid w:val="00A5774A"/>
    <w:rsid w:val="00A622A1"/>
    <w:rsid w:val="00A6287B"/>
    <w:rsid w:val="00A72E2B"/>
    <w:rsid w:val="00A80475"/>
    <w:rsid w:val="00AA0D5A"/>
    <w:rsid w:val="00AA4B57"/>
    <w:rsid w:val="00AB4C35"/>
    <w:rsid w:val="00AC2124"/>
    <w:rsid w:val="00AE5264"/>
    <w:rsid w:val="00AE65C8"/>
    <w:rsid w:val="00AE7E0F"/>
    <w:rsid w:val="00AF1D50"/>
    <w:rsid w:val="00B07AE8"/>
    <w:rsid w:val="00B13A30"/>
    <w:rsid w:val="00B15320"/>
    <w:rsid w:val="00B17034"/>
    <w:rsid w:val="00B17B38"/>
    <w:rsid w:val="00B208A0"/>
    <w:rsid w:val="00B271CD"/>
    <w:rsid w:val="00B31A97"/>
    <w:rsid w:val="00B35617"/>
    <w:rsid w:val="00B621B0"/>
    <w:rsid w:val="00B62C28"/>
    <w:rsid w:val="00B64084"/>
    <w:rsid w:val="00B6444C"/>
    <w:rsid w:val="00B6598D"/>
    <w:rsid w:val="00B66F36"/>
    <w:rsid w:val="00B83176"/>
    <w:rsid w:val="00B87E78"/>
    <w:rsid w:val="00B96F91"/>
    <w:rsid w:val="00BA02D1"/>
    <w:rsid w:val="00BA49E5"/>
    <w:rsid w:val="00BB2BF9"/>
    <w:rsid w:val="00BD1232"/>
    <w:rsid w:val="00BD4115"/>
    <w:rsid w:val="00BE141E"/>
    <w:rsid w:val="00BF27F0"/>
    <w:rsid w:val="00BF3CF9"/>
    <w:rsid w:val="00BF4B5F"/>
    <w:rsid w:val="00BF77B2"/>
    <w:rsid w:val="00C03F00"/>
    <w:rsid w:val="00C21B36"/>
    <w:rsid w:val="00C51A29"/>
    <w:rsid w:val="00C56165"/>
    <w:rsid w:val="00C63049"/>
    <w:rsid w:val="00C66DF4"/>
    <w:rsid w:val="00C67A21"/>
    <w:rsid w:val="00C67FAD"/>
    <w:rsid w:val="00C708AB"/>
    <w:rsid w:val="00C7124C"/>
    <w:rsid w:val="00C72D6B"/>
    <w:rsid w:val="00C772FE"/>
    <w:rsid w:val="00C81E52"/>
    <w:rsid w:val="00C93D1D"/>
    <w:rsid w:val="00C95062"/>
    <w:rsid w:val="00C9608D"/>
    <w:rsid w:val="00C96347"/>
    <w:rsid w:val="00CA3F51"/>
    <w:rsid w:val="00CC2A9D"/>
    <w:rsid w:val="00CC772D"/>
    <w:rsid w:val="00CD06C1"/>
    <w:rsid w:val="00CD5C93"/>
    <w:rsid w:val="00CD71E4"/>
    <w:rsid w:val="00CE617B"/>
    <w:rsid w:val="00D060AE"/>
    <w:rsid w:val="00D06538"/>
    <w:rsid w:val="00D07B20"/>
    <w:rsid w:val="00D1131A"/>
    <w:rsid w:val="00D17977"/>
    <w:rsid w:val="00D17A89"/>
    <w:rsid w:val="00D206A1"/>
    <w:rsid w:val="00D2343C"/>
    <w:rsid w:val="00D3468A"/>
    <w:rsid w:val="00D35906"/>
    <w:rsid w:val="00D62ACC"/>
    <w:rsid w:val="00D65241"/>
    <w:rsid w:val="00D74035"/>
    <w:rsid w:val="00D77675"/>
    <w:rsid w:val="00D93A31"/>
    <w:rsid w:val="00D978A4"/>
    <w:rsid w:val="00DA0762"/>
    <w:rsid w:val="00DA5B02"/>
    <w:rsid w:val="00DB0286"/>
    <w:rsid w:val="00DD25F3"/>
    <w:rsid w:val="00DD50FD"/>
    <w:rsid w:val="00DE736C"/>
    <w:rsid w:val="00E020BE"/>
    <w:rsid w:val="00E266A1"/>
    <w:rsid w:val="00E32140"/>
    <w:rsid w:val="00E406AA"/>
    <w:rsid w:val="00E43B12"/>
    <w:rsid w:val="00E43D45"/>
    <w:rsid w:val="00E447BD"/>
    <w:rsid w:val="00E6067B"/>
    <w:rsid w:val="00E621D8"/>
    <w:rsid w:val="00E6341B"/>
    <w:rsid w:val="00E64E8C"/>
    <w:rsid w:val="00E749EC"/>
    <w:rsid w:val="00E83B2D"/>
    <w:rsid w:val="00E85E58"/>
    <w:rsid w:val="00E9397C"/>
    <w:rsid w:val="00EA2330"/>
    <w:rsid w:val="00EA449E"/>
    <w:rsid w:val="00EC754A"/>
    <w:rsid w:val="00ED17E1"/>
    <w:rsid w:val="00EE12A6"/>
    <w:rsid w:val="00EE3B47"/>
    <w:rsid w:val="00EF115C"/>
    <w:rsid w:val="00EF14EF"/>
    <w:rsid w:val="00EF1AC4"/>
    <w:rsid w:val="00EF6BC5"/>
    <w:rsid w:val="00F11E0F"/>
    <w:rsid w:val="00F128F7"/>
    <w:rsid w:val="00F22DD5"/>
    <w:rsid w:val="00F2336B"/>
    <w:rsid w:val="00F32688"/>
    <w:rsid w:val="00F52ACE"/>
    <w:rsid w:val="00F531F0"/>
    <w:rsid w:val="00F70F5B"/>
    <w:rsid w:val="00F72F00"/>
    <w:rsid w:val="00F812A4"/>
    <w:rsid w:val="00F8529E"/>
    <w:rsid w:val="00F91516"/>
    <w:rsid w:val="00F96F79"/>
    <w:rsid w:val="00FB6294"/>
    <w:rsid w:val="00FB7A5D"/>
    <w:rsid w:val="00FD1AD7"/>
    <w:rsid w:val="00FF0EE4"/>
    <w:rsid w:val="00FF3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43A"/>
  <w15:chartTrackingRefBased/>
  <w15:docId w15:val="{653318F1-50BD-4094-BDBF-B49A391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232"/>
  </w:style>
  <w:style w:type="paragraph" w:styleId="Piedepgina">
    <w:name w:val="footer"/>
    <w:basedOn w:val="Normal"/>
    <w:link w:val="PiedepginaCar"/>
    <w:uiPriority w:val="99"/>
    <w:unhideWhenUsed/>
    <w:rsid w:val="00BD12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1232"/>
  </w:style>
  <w:style w:type="character" w:customStyle="1" w:styleId="Fuentedeprrafopredeter1">
    <w:name w:val="Fuente de párrafo predeter.1"/>
    <w:rsid w:val="00056664"/>
  </w:style>
  <w:style w:type="table" w:styleId="Tablaconcuadrcula">
    <w:name w:val="Table Grid"/>
    <w:basedOn w:val="Tablanormal"/>
    <w:uiPriority w:val="39"/>
    <w:rsid w:val="006300A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E9FF"/>
    </w:tcPr>
    <w:tblStylePr w:type="band1Horz">
      <w:tblPr/>
      <w:tcPr>
        <w:shd w:val="clear" w:color="auto" w:fill="E6F2F0"/>
      </w:tcPr>
    </w:tblStylePr>
  </w:style>
  <w:style w:type="table" w:styleId="Tablanormal3">
    <w:name w:val="Plain Table 3"/>
    <w:basedOn w:val="Tablanormal"/>
    <w:uiPriority w:val="43"/>
    <w:rsid w:val="006300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400ADE"/>
    <w:pPr>
      <w:spacing w:after="0" w:line="240" w:lineRule="auto"/>
      <w:ind w:left="720"/>
    </w:pPr>
    <w:rPr>
      <w:rFonts w:ascii="Calibri" w:hAnsi="Calibri" w:cs="Times New Roman"/>
    </w:rPr>
  </w:style>
  <w:style w:type="table" w:styleId="Tablaconcuadrculaclara">
    <w:name w:val="Grid Table Light"/>
    <w:basedOn w:val="Tablanormal"/>
    <w:uiPriority w:val="40"/>
    <w:rsid w:val="00035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035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17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A89"/>
    <w:rPr>
      <w:rFonts w:ascii="Segoe UI" w:hAnsi="Segoe UI" w:cs="Segoe UI"/>
      <w:sz w:val="18"/>
      <w:szCs w:val="18"/>
    </w:rPr>
  </w:style>
  <w:style w:type="character" w:styleId="Hipervnculo">
    <w:name w:val="Hyperlink"/>
    <w:basedOn w:val="Fuentedeprrafopredeter"/>
    <w:uiPriority w:val="99"/>
    <w:unhideWhenUsed/>
    <w:rsid w:val="00C708AB"/>
    <w:rPr>
      <w:color w:val="0563C1" w:themeColor="hyperlink"/>
      <w:u w:val="single"/>
    </w:rPr>
  </w:style>
  <w:style w:type="character" w:styleId="Mencinsinresolver">
    <w:name w:val="Unresolved Mention"/>
    <w:basedOn w:val="Fuentedeprrafopredeter"/>
    <w:uiPriority w:val="99"/>
    <w:semiHidden/>
    <w:unhideWhenUsed/>
    <w:rsid w:val="00C708AB"/>
    <w:rPr>
      <w:color w:val="605E5C"/>
      <w:shd w:val="clear" w:color="auto" w:fill="E1DFDD"/>
    </w:rPr>
  </w:style>
  <w:style w:type="character" w:styleId="Hipervnculovisitado">
    <w:name w:val="FollowedHyperlink"/>
    <w:basedOn w:val="Fuentedeprrafopredeter"/>
    <w:uiPriority w:val="99"/>
    <w:semiHidden/>
    <w:unhideWhenUsed/>
    <w:rsid w:val="005559D3"/>
    <w:rPr>
      <w:color w:val="954F72" w:themeColor="followedHyperlink"/>
      <w:u w:val="single"/>
    </w:rPr>
  </w:style>
  <w:style w:type="paragraph" w:styleId="Sinespaciado">
    <w:name w:val="No Spacing"/>
    <w:uiPriority w:val="1"/>
    <w:qFormat/>
    <w:rsid w:val="00802820"/>
    <w:pPr>
      <w:spacing w:after="0" w:line="240" w:lineRule="auto"/>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9104">
      <w:bodyDiv w:val="1"/>
      <w:marLeft w:val="0"/>
      <w:marRight w:val="0"/>
      <w:marTop w:val="0"/>
      <w:marBottom w:val="0"/>
      <w:divBdr>
        <w:top w:val="none" w:sz="0" w:space="0" w:color="auto"/>
        <w:left w:val="none" w:sz="0" w:space="0" w:color="auto"/>
        <w:bottom w:val="none" w:sz="0" w:space="0" w:color="auto"/>
        <w:right w:val="none" w:sz="0" w:space="0" w:color="auto"/>
      </w:divBdr>
    </w:div>
    <w:div w:id="879511263">
      <w:bodyDiv w:val="1"/>
      <w:marLeft w:val="0"/>
      <w:marRight w:val="0"/>
      <w:marTop w:val="0"/>
      <w:marBottom w:val="0"/>
      <w:divBdr>
        <w:top w:val="none" w:sz="0" w:space="0" w:color="auto"/>
        <w:left w:val="none" w:sz="0" w:space="0" w:color="auto"/>
        <w:bottom w:val="none" w:sz="0" w:space="0" w:color="auto"/>
        <w:right w:val="none" w:sz="0" w:space="0" w:color="auto"/>
      </w:divBdr>
      <w:divsChild>
        <w:div w:id="695271598">
          <w:marLeft w:val="0"/>
          <w:marRight w:val="0"/>
          <w:marTop w:val="0"/>
          <w:marBottom w:val="0"/>
          <w:divBdr>
            <w:top w:val="none" w:sz="0" w:space="0" w:color="auto"/>
            <w:left w:val="none" w:sz="0" w:space="0" w:color="auto"/>
            <w:bottom w:val="none" w:sz="0" w:space="0" w:color="auto"/>
            <w:right w:val="none" w:sz="0" w:space="0" w:color="auto"/>
          </w:divBdr>
          <w:divsChild>
            <w:div w:id="1493451438">
              <w:marLeft w:val="0"/>
              <w:marRight w:val="0"/>
              <w:marTop w:val="0"/>
              <w:marBottom w:val="0"/>
              <w:divBdr>
                <w:top w:val="none" w:sz="0" w:space="0" w:color="auto"/>
                <w:left w:val="none" w:sz="0" w:space="0" w:color="auto"/>
                <w:bottom w:val="none" w:sz="0" w:space="0" w:color="auto"/>
                <w:right w:val="none" w:sz="0" w:space="0" w:color="auto"/>
              </w:divBdr>
            </w:div>
            <w:div w:id="695539878">
              <w:marLeft w:val="0"/>
              <w:marRight w:val="0"/>
              <w:marTop w:val="750"/>
              <w:marBottom w:val="0"/>
              <w:divBdr>
                <w:top w:val="none" w:sz="0" w:space="0" w:color="auto"/>
                <w:left w:val="none" w:sz="0" w:space="0" w:color="auto"/>
                <w:bottom w:val="none" w:sz="0" w:space="0" w:color="auto"/>
                <w:right w:val="none" w:sz="0" w:space="0" w:color="auto"/>
              </w:divBdr>
              <w:divsChild>
                <w:div w:id="1116829785">
                  <w:marLeft w:val="0"/>
                  <w:marRight w:val="0"/>
                  <w:marTop w:val="0"/>
                  <w:marBottom w:val="0"/>
                  <w:divBdr>
                    <w:top w:val="none" w:sz="0" w:space="0" w:color="auto"/>
                    <w:left w:val="none" w:sz="0" w:space="0" w:color="auto"/>
                    <w:bottom w:val="none" w:sz="0" w:space="0" w:color="auto"/>
                    <w:right w:val="none" w:sz="0" w:space="0" w:color="auto"/>
                  </w:divBdr>
                  <w:divsChild>
                    <w:div w:id="860245533">
                      <w:marLeft w:val="0"/>
                      <w:marRight w:val="0"/>
                      <w:marTop w:val="0"/>
                      <w:marBottom w:val="0"/>
                      <w:divBdr>
                        <w:top w:val="none" w:sz="0" w:space="0" w:color="auto"/>
                        <w:left w:val="none" w:sz="0" w:space="0" w:color="auto"/>
                        <w:bottom w:val="none" w:sz="0" w:space="0" w:color="auto"/>
                        <w:right w:val="none" w:sz="0" w:space="0" w:color="auto"/>
                      </w:divBdr>
                      <w:divsChild>
                        <w:div w:id="23333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92869985">
          <w:marLeft w:val="0"/>
          <w:marRight w:val="0"/>
          <w:marTop w:val="255"/>
          <w:marBottom w:val="240"/>
          <w:divBdr>
            <w:top w:val="none" w:sz="0" w:space="0" w:color="auto"/>
            <w:left w:val="none" w:sz="0" w:space="0" w:color="auto"/>
            <w:bottom w:val="none" w:sz="0" w:space="0" w:color="auto"/>
            <w:right w:val="none" w:sz="0" w:space="0" w:color="auto"/>
          </w:divBdr>
        </w:div>
        <w:div w:id="1638604099">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118332073">
      <w:bodyDiv w:val="1"/>
      <w:marLeft w:val="0"/>
      <w:marRight w:val="0"/>
      <w:marTop w:val="0"/>
      <w:marBottom w:val="0"/>
      <w:divBdr>
        <w:top w:val="none" w:sz="0" w:space="0" w:color="auto"/>
        <w:left w:val="none" w:sz="0" w:space="0" w:color="auto"/>
        <w:bottom w:val="none" w:sz="0" w:space="0" w:color="auto"/>
        <w:right w:val="none" w:sz="0" w:space="0" w:color="auto"/>
      </w:divBdr>
      <w:divsChild>
        <w:div w:id="1908297456">
          <w:marLeft w:val="0"/>
          <w:marRight w:val="0"/>
          <w:marTop w:val="0"/>
          <w:marBottom w:val="0"/>
          <w:divBdr>
            <w:top w:val="none" w:sz="0" w:space="0" w:color="auto"/>
            <w:left w:val="none" w:sz="0" w:space="0" w:color="auto"/>
            <w:bottom w:val="none" w:sz="0" w:space="0" w:color="auto"/>
            <w:right w:val="none" w:sz="0" w:space="0" w:color="auto"/>
          </w:divBdr>
          <w:divsChild>
            <w:div w:id="202642392">
              <w:marLeft w:val="0"/>
              <w:marRight w:val="0"/>
              <w:marTop w:val="0"/>
              <w:marBottom w:val="0"/>
              <w:divBdr>
                <w:top w:val="none" w:sz="0" w:space="0" w:color="auto"/>
                <w:left w:val="none" w:sz="0" w:space="0" w:color="auto"/>
                <w:bottom w:val="none" w:sz="0" w:space="0" w:color="auto"/>
                <w:right w:val="none" w:sz="0" w:space="0" w:color="auto"/>
              </w:divBdr>
            </w:div>
            <w:div w:id="231239230">
              <w:marLeft w:val="0"/>
              <w:marRight w:val="0"/>
              <w:marTop w:val="750"/>
              <w:marBottom w:val="0"/>
              <w:divBdr>
                <w:top w:val="none" w:sz="0" w:space="0" w:color="auto"/>
                <w:left w:val="none" w:sz="0" w:space="0" w:color="auto"/>
                <w:bottom w:val="none" w:sz="0" w:space="0" w:color="auto"/>
                <w:right w:val="none" w:sz="0" w:space="0" w:color="auto"/>
              </w:divBdr>
              <w:divsChild>
                <w:div w:id="1256356619">
                  <w:marLeft w:val="0"/>
                  <w:marRight w:val="0"/>
                  <w:marTop w:val="0"/>
                  <w:marBottom w:val="0"/>
                  <w:divBdr>
                    <w:top w:val="none" w:sz="0" w:space="0" w:color="auto"/>
                    <w:left w:val="none" w:sz="0" w:space="0" w:color="auto"/>
                    <w:bottom w:val="none" w:sz="0" w:space="0" w:color="auto"/>
                    <w:right w:val="none" w:sz="0" w:space="0" w:color="auto"/>
                  </w:divBdr>
                  <w:divsChild>
                    <w:div w:id="2111461504">
                      <w:marLeft w:val="0"/>
                      <w:marRight w:val="0"/>
                      <w:marTop w:val="0"/>
                      <w:marBottom w:val="0"/>
                      <w:divBdr>
                        <w:top w:val="none" w:sz="0" w:space="0" w:color="auto"/>
                        <w:left w:val="none" w:sz="0" w:space="0" w:color="auto"/>
                        <w:bottom w:val="none" w:sz="0" w:space="0" w:color="auto"/>
                        <w:right w:val="none" w:sz="0" w:space="0" w:color="auto"/>
                      </w:divBdr>
                      <w:divsChild>
                        <w:div w:id="745103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07921513">
          <w:marLeft w:val="0"/>
          <w:marRight w:val="0"/>
          <w:marTop w:val="255"/>
          <w:marBottom w:val="240"/>
          <w:divBdr>
            <w:top w:val="none" w:sz="0" w:space="0" w:color="auto"/>
            <w:left w:val="none" w:sz="0" w:space="0" w:color="auto"/>
            <w:bottom w:val="none" w:sz="0" w:space="0" w:color="auto"/>
            <w:right w:val="none" w:sz="0" w:space="0" w:color="auto"/>
          </w:divBdr>
        </w:div>
        <w:div w:id="2007779642">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gcom.es/comunicacion" TargetMode="External"/><Relationship Id="rId2" Type="http://schemas.openxmlformats.org/officeDocument/2006/relationships/hyperlink" Target="http://www.medicosypacientes.com" TargetMode="External"/><Relationship Id="rId1" Type="http://schemas.openxmlformats.org/officeDocument/2006/relationships/hyperlink" Target="https://www.cgcom.es/comunicacion" TargetMode="External"/><Relationship Id="rId6" Type="http://schemas.openxmlformats.org/officeDocument/2006/relationships/hyperlink" Target="mailto:prensa@cgcom.es" TargetMode="External"/><Relationship Id="rId5" Type="http://schemas.openxmlformats.org/officeDocument/2006/relationships/hyperlink" Target="mailto:prensa@cgcom.es" TargetMode="External"/><Relationship Id="rId4" Type="http://schemas.openxmlformats.org/officeDocument/2006/relationships/hyperlink" Target="http://www.medicosypacien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252-FCC2-4C19-9711-7E749FE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Plaza de las Cortes, 11- 28014 Madrid - Departamento de Comunicación -  prensa@cgcom.es - Telf: 91 431 77 80 Ext. 5</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Perez</dc:creator>
  <cp:keywords/>
  <dc:description/>
  <cp:lastModifiedBy>Álvaro García Torres</cp:lastModifiedBy>
  <cp:revision>2</cp:revision>
  <cp:lastPrinted>2022-05-26T06:35:00Z</cp:lastPrinted>
  <dcterms:created xsi:type="dcterms:W3CDTF">2025-10-12T09:55:00Z</dcterms:created>
  <dcterms:modified xsi:type="dcterms:W3CDTF">2025-10-12T09:55:00Z</dcterms:modified>
</cp:coreProperties>
</file>